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7A" w:rsidRDefault="00A5617A" w:rsidP="00A5617A">
      <w:pPr>
        <w:jc w:val="center"/>
        <w:rPr>
          <w:rFonts w:ascii="Arial" w:hAnsi="Arial" w:cs="Arial"/>
          <w:color w:val="007B7A"/>
          <w:sz w:val="40"/>
          <w:szCs w:val="40"/>
        </w:rPr>
      </w:pPr>
      <w:r>
        <w:rPr>
          <w:rStyle w:val="Strong"/>
          <w:rFonts w:ascii="Arial" w:hAnsi="Arial" w:cs="Arial"/>
          <w:color w:val="007B7A"/>
          <w:sz w:val="40"/>
          <w:szCs w:val="40"/>
        </w:rPr>
        <w:t>Program Changes Effective 4/1/15</w:t>
      </w:r>
      <w:r>
        <w:rPr>
          <w:rFonts w:ascii="Arial" w:hAnsi="Arial" w:cs="Arial"/>
          <w:b/>
          <w:bCs/>
          <w:color w:val="007B7A"/>
          <w:sz w:val="40"/>
          <w:szCs w:val="40"/>
        </w:rPr>
        <w:br/>
      </w:r>
      <w:proofErr w:type="gramStart"/>
      <w:r>
        <w:rPr>
          <w:rStyle w:val="Strong"/>
          <w:rFonts w:ascii="Arial" w:hAnsi="Arial" w:cs="Arial"/>
          <w:color w:val="007B7A"/>
          <w:sz w:val="40"/>
          <w:szCs w:val="40"/>
        </w:rPr>
        <w:t>Under</w:t>
      </w:r>
      <w:proofErr w:type="gramEnd"/>
      <w:r>
        <w:rPr>
          <w:rStyle w:val="Strong"/>
          <w:rFonts w:ascii="Arial" w:hAnsi="Arial" w:cs="Arial"/>
          <w:color w:val="007B7A"/>
          <w:sz w:val="40"/>
          <w:szCs w:val="40"/>
        </w:rPr>
        <w:t xml:space="preserve"> the NFIP Reform Acts of 2012 &amp; 2014 </w:t>
      </w:r>
    </w:p>
    <w:p w:rsidR="00A5617A" w:rsidRDefault="00A5617A" w:rsidP="00A5617A">
      <w:pPr>
        <w:pStyle w:val="NormalWeb"/>
        <w:spacing w:before="0" w:beforeAutospacing="0" w:after="0" w:afterAutospacing="0"/>
        <w:jc w:val="center"/>
        <w:rPr>
          <w:rFonts w:ascii="Arial" w:hAnsi="Arial" w:cs="Arial"/>
          <w:color w:val="3D3D3D"/>
          <w:sz w:val="28"/>
          <w:szCs w:val="28"/>
        </w:rPr>
      </w:pPr>
      <w:r>
        <w:rPr>
          <w:rFonts w:ascii="Arial" w:hAnsi="Arial" w:cs="Arial"/>
          <w:color w:val="3D3D3D"/>
          <w:sz w:val="28"/>
          <w:szCs w:val="28"/>
        </w:rPr>
        <w:t xml:space="preserve">  </w:t>
      </w:r>
      <w:r>
        <w:rPr>
          <w:rFonts w:ascii="Arial" w:hAnsi="Arial" w:cs="Arial"/>
          <w:noProof/>
          <w:color w:val="3D3D3D"/>
          <w:sz w:val="28"/>
          <w:szCs w:val="28"/>
        </w:rPr>
        <w:drawing>
          <wp:inline distT="0" distB="0" distL="0" distR="0">
            <wp:extent cx="2419350" cy="2047875"/>
            <wp:effectExtent l="0" t="0" r="0" b="9525"/>
            <wp:docPr id="1" name="Picture 1" descr="NF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I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047875"/>
                    </a:xfrm>
                    <a:prstGeom prst="rect">
                      <a:avLst/>
                    </a:prstGeom>
                    <a:noFill/>
                    <a:ln>
                      <a:noFill/>
                    </a:ln>
                  </pic:spPr>
                </pic:pic>
              </a:graphicData>
            </a:graphic>
          </wp:inline>
        </w:drawing>
      </w:r>
      <w:r>
        <w:rPr>
          <w:rFonts w:ascii="Arial" w:hAnsi="Arial" w:cs="Arial"/>
          <w:color w:val="3D3D3D"/>
          <w:sz w:val="28"/>
          <w:szCs w:val="28"/>
        </w:rPr>
        <w:t> </w:t>
      </w:r>
    </w:p>
    <w:p w:rsidR="00A5617A" w:rsidRDefault="00A5617A" w:rsidP="00A5617A">
      <w:pPr>
        <w:jc w:val="both"/>
        <w:rPr>
          <w:rFonts w:ascii="Arial" w:hAnsi="Arial" w:cs="Arial"/>
          <w:color w:val="3D3D3D"/>
          <w:sz w:val="28"/>
          <w:szCs w:val="28"/>
        </w:rPr>
      </w:pPr>
      <w:r>
        <w:rPr>
          <w:rFonts w:ascii="Arial" w:hAnsi="Arial" w:cs="Arial"/>
          <w:color w:val="3D3D3D"/>
          <w:sz w:val="28"/>
          <w:szCs w:val="28"/>
        </w:rPr>
        <w:t>The purpose of this notice is to inform you of upcoming changes effective April 1, 2015 under the NFIP Reform Acts of 2012 and 2014.  These changes will require modification to the NFIP Flood Insurance Manual, Transaction Record Reporting &amp; Processing (TRRP) Plan, and the Edit Specifications document.</w:t>
      </w:r>
    </w:p>
    <w:p w:rsidR="00A5617A" w:rsidRDefault="00A5617A" w:rsidP="00A5617A">
      <w:pPr>
        <w:rPr>
          <w:rFonts w:ascii="Arial" w:hAnsi="Arial" w:cs="Arial"/>
          <w:color w:val="3D3D3D"/>
          <w:sz w:val="28"/>
          <w:szCs w:val="28"/>
        </w:rPr>
      </w:pPr>
    </w:p>
    <w:p w:rsidR="00A5617A" w:rsidRDefault="00A5617A" w:rsidP="00A5617A">
      <w:pPr>
        <w:pStyle w:val="NormalWeb"/>
        <w:spacing w:before="0" w:beforeAutospacing="0" w:after="0" w:afterAutospacing="0"/>
        <w:jc w:val="both"/>
        <w:rPr>
          <w:rFonts w:ascii="Arial" w:hAnsi="Arial" w:cs="Arial"/>
          <w:color w:val="3D3D3D"/>
          <w:sz w:val="28"/>
          <w:szCs w:val="28"/>
        </w:rPr>
      </w:pPr>
      <w:r>
        <w:rPr>
          <w:rStyle w:val="Strong"/>
          <w:rFonts w:ascii="Arial" w:hAnsi="Arial" w:cs="Arial"/>
          <w:color w:val="006E6D"/>
          <w:sz w:val="32"/>
          <w:szCs w:val="32"/>
        </w:rPr>
        <w:t xml:space="preserve">Program Changes </w:t>
      </w:r>
      <w:r>
        <w:rPr>
          <w:rStyle w:val="Strong"/>
          <w:rFonts w:ascii="Arial" w:hAnsi="Arial" w:cs="Arial"/>
          <w:color w:val="FF0000"/>
          <w:sz w:val="32"/>
          <w:szCs w:val="32"/>
        </w:rPr>
        <w:t>Effective April 1, 2015</w:t>
      </w:r>
      <w:r>
        <w:rPr>
          <w:rStyle w:val="Strong"/>
          <w:rFonts w:ascii="Arial" w:hAnsi="Arial" w:cs="Arial"/>
          <w:color w:val="006E6D"/>
          <w:sz w:val="32"/>
          <w:szCs w:val="32"/>
        </w:rPr>
        <w:t>:</w:t>
      </w:r>
      <w:r>
        <w:rPr>
          <w:rFonts w:ascii="Arial" w:hAnsi="Arial" w:cs="Arial"/>
          <w:color w:val="3D3D3D"/>
          <w:sz w:val="28"/>
          <w:szCs w:val="28"/>
        </w:rPr>
        <w:t xml:space="preserve">  </w:t>
      </w:r>
    </w:p>
    <w:p w:rsidR="00A5617A" w:rsidRDefault="00A5617A" w:rsidP="00A5617A">
      <w:pPr>
        <w:numPr>
          <w:ilvl w:val="0"/>
          <w:numId w:val="1"/>
        </w:numPr>
        <w:rPr>
          <w:rFonts w:ascii="Arial" w:hAnsi="Arial" w:cs="Arial"/>
          <w:color w:val="3D3D3D"/>
        </w:rPr>
      </w:pPr>
      <w:r>
        <w:rPr>
          <w:rFonts w:ascii="Arial" w:hAnsi="Arial" w:cs="Arial"/>
          <w:color w:val="3D3D3D"/>
        </w:rPr>
        <w:t>Updated premium rates conforming to HFIAA premium rate caps;</w:t>
      </w:r>
    </w:p>
    <w:p w:rsidR="00A5617A" w:rsidRDefault="00A5617A" w:rsidP="00A5617A">
      <w:pPr>
        <w:numPr>
          <w:ilvl w:val="0"/>
          <w:numId w:val="1"/>
        </w:numPr>
        <w:rPr>
          <w:rFonts w:ascii="Arial" w:hAnsi="Arial" w:cs="Arial"/>
          <w:color w:val="3D3D3D"/>
        </w:rPr>
      </w:pPr>
      <w:r>
        <w:rPr>
          <w:rFonts w:ascii="Arial" w:hAnsi="Arial" w:cs="Arial"/>
          <w:color w:val="3D3D3D"/>
        </w:rPr>
        <w:t xml:space="preserve">Premium increases for non-primary residences and Severe Repetitive Loss properties; </w:t>
      </w:r>
    </w:p>
    <w:p w:rsidR="00A5617A" w:rsidRDefault="00A5617A" w:rsidP="00A5617A">
      <w:pPr>
        <w:numPr>
          <w:ilvl w:val="0"/>
          <w:numId w:val="1"/>
        </w:numPr>
        <w:rPr>
          <w:rFonts w:ascii="Arial" w:hAnsi="Arial" w:cs="Arial"/>
          <w:color w:val="3D3D3D"/>
        </w:rPr>
      </w:pPr>
      <w:r>
        <w:rPr>
          <w:rFonts w:ascii="Arial" w:hAnsi="Arial" w:cs="Arial"/>
          <w:color w:val="3D3D3D"/>
        </w:rPr>
        <w:t>New rate tables for Substantially Damaged / Improved structures;</w:t>
      </w:r>
    </w:p>
    <w:p w:rsidR="00A5617A" w:rsidRDefault="00A5617A" w:rsidP="00A5617A">
      <w:pPr>
        <w:numPr>
          <w:ilvl w:val="0"/>
          <w:numId w:val="1"/>
        </w:numPr>
        <w:rPr>
          <w:rFonts w:ascii="Arial" w:hAnsi="Arial" w:cs="Arial"/>
          <w:color w:val="3D3D3D"/>
        </w:rPr>
      </w:pPr>
      <w:r>
        <w:rPr>
          <w:rFonts w:ascii="Arial" w:hAnsi="Arial" w:cs="Arial"/>
          <w:color w:val="3D3D3D"/>
        </w:rPr>
        <w:t xml:space="preserve">Increased Reserve Fund Assessments; </w:t>
      </w:r>
    </w:p>
    <w:p w:rsidR="00A5617A" w:rsidRDefault="00A5617A" w:rsidP="00A5617A">
      <w:pPr>
        <w:numPr>
          <w:ilvl w:val="0"/>
          <w:numId w:val="1"/>
        </w:numPr>
        <w:rPr>
          <w:rFonts w:ascii="Arial" w:hAnsi="Arial" w:cs="Arial"/>
          <w:color w:val="3D3D3D"/>
        </w:rPr>
      </w:pPr>
      <w:r>
        <w:rPr>
          <w:rFonts w:ascii="Arial" w:hAnsi="Arial" w:cs="Arial"/>
          <w:color w:val="3D3D3D"/>
        </w:rPr>
        <w:t xml:space="preserve">New procedures for properties newly mapped into a Special Flood Hazard Area (replacing the Preferred Risk Policy (PRP) Eligibility Extension procedure); </w:t>
      </w:r>
    </w:p>
    <w:p w:rsidR="00A5617A" w:rsidRDefault="00A5617A" w:rsidP="00A5617A">
      <w:pPr>
        <w:numPr>
          <w:ilvl w:val="0"/>
          <w:numId w:val="1"/>
        </w:numPr>
        <w:rPr>
          <w:rFonts w:ascii="Arial" w:hAnsi="Arial" w:cs="Arial"/>
          <w:color w:val="3D3D3D"/>
        </w:rPr>
      </w:pPr>
      <w:r>
        <w:rPr>
          <w:rFonts w:ascii="Arial" w:hAnsi="Arial" w:cs="Arial"/>
          <w:color w:val="3D3D3D"/>
        </w:rPr>
        <w:t xml:space="preserve">New HFIAA-mandated premium surcharge of $25 for policies covering primary residences and $250 for all other policies; </w:t>
      </w:r>
    </w:p>
    <w:p w:rsidR="00A5617A" w:rsidRDefault="00A5617A" w:rsidP="00A5617A">
      <w:pPr>
        <w:numPr>
          <w:ilvl w:val="0"/>
          <w:numId w:val="1"/>
        </w:numPr>
        <w:rPr>
          <w:rFonts w:ascii="Arial" w:hAnsi="Arial" w:cs="Arial"/>
          <w:color w:val="3D3D3D"/>
        </w:rPr>
      </w:pPr>
      <w:r>
        <w:rPr>
          <w:rFonts w:ascii="Arial" w:hAnsi="Arial" w:cs="Arial"/>
          <w:color w:val="3D3D3D"/>
        </w:rPr>
        <w:t xml:space="preserve">Revised deductibles amounts and new $10,000 deductible option for residential properties; </w:t>
      </w:r>
    </w:p>
    <w:p w:rsidR="00A5617A" w:rsidRDefault="00A5617A" w:rsidP="00A5617A">
      <w:pPr>
        <w:numPr>
          <w:ilvl w:val="0"/>
          <w:numId w:val="1"/>
        </w:numPr>
        <w:rPr>
          <w:rFonts w:ascii="Arial" w:hAnsi="Arial" w:cs="Arial"/>
          <w:color w:val="3D3D3D"/>
        </w:rPr>
      </w:pPr>
      <w:r>
        <w:rPr>
          <w:rFonts w:ascii="Arial" w:hAnsi="Arial" w:cs="Arial"/>
          <w:color w:val="3D3D3D"/>
        </w:rPr>
        <w:t xml:space="preserve">New minimum deductibles for PRPs and Mortgage Portfolio Protection Program policies; and </w:t>
      </w:r>
    </w:p>
    <w:p w:rsidR="00A5617A" w:rsidRDefault="00A5617A" w:rsidP="00A5617A">
      <w:pPr>
        <w:numPr>
          <w:ilvl w:val="0"/>
          <w:numId w:val="1"/>
        </w:numPr>
        <w:rPr>
          <w:rFonts w:ascii="Arial" w:hAnsi="Arial" w:cs="Arial"/>
          <w:color w:val="3D3D3D"/>
        </w:rPr>
      </w:pPr>
      <w:r>
        <w:rPr>
          <w:rFonts w:ascii="Arial" w:hAnsi="Arial" w:cs="Arial"/>
          <w:color w:val="3D3D3D"/>
        </w:rPr>
        <w:t>Requirement to identify legal address descriptions in the TRRP Plan.</w:t>
      </w:r>
    </w:p>
    <w:p w:rsidR="00A5617A" w:rsidRDefault="00A5617A" w:rsidP="00A5617A">
      <w:pPr>
        <w:pStyle w:val="NormalWeb"/>
        <w:spacing w:before="0" w:beforeAutospacing="0" w:after="0" w:afterAutospacing="0"/>
        <w:rPr>
          <w:rFonts w:ascii="Arial" w:hAnsi="Arial" w:cs="Arial"/>
          <w:color w:val="3D3D3D"/>
          <w:sz w:val="28"/>
          <w:szCs w:val="28"/>
        </w:rPr>
      </w:pPr>
      <w:hyperlink r:id="rId6" w:tgtFrame="_blank" w:history="1">
        <w:r>
          <w:rPr>
            <w:rStyle w:val="Hyperlink"/>
            <w:rFonts w:ascii="Arial" w:hAnsi="Arial" w:cs="Arial"/>
            <w:sz w:val="28"/>
            <w:szCs w:val="28"/>
          </w:rPr>
          <w:t>Click here</w:t>
        </w:r>
      </w:hyperlink>
      <w:r>
        <w:rPr>
          <w:rFonts w:ascii="Arial" w:hAnsi="Arial" w:cs="Arial"/>
          <w:color w:val="3D3D3D"/>
          <w:sz w:val="28"/>
          <w:szCs w:val="28"/>
        </w:rPr>
        <w:t xml:space="preserve"> to read more.</w:t>
      </w:r>
    </w:p>
    <w:p w:rsidR="00A5617A" w:rsidRDefault="00A5617A" w:rsidP="00A5617A">
      <w:pPr>
        <w:pStyle w:val="NormalWeb"/>
        <w:spacing w:before="0" w:beforeAutospacing="0" w:after="0" w:afterAutospacing="0"/>
        <w:rPr>
          <w:rFonts w:ascii="Arial" w:hAnsi="Arial" w:cs="Arial"/>
          <w:color w:val="3D3D3D"/>
          <w:sz w:val="28"/>
          <w:szCs w:val="28"/>
        </w:rPr>
      </w:pPr>
      <w:r>
        <w:rPr>
          <w:rFonts w:ascii="Arial" w:hAnsi="Arial" w:cs="Arial"/>
          <w:color w:val="3D3D3D"/>
          <w:sz w:val="28"/>
          <w:szCs w:val="28"/>
        </w:rPr>
        <w:t> </w:t>
      </w:r>
    </w:p>
    <w:p w:rsidR="00A91840" w:rsidRDefault="00A91840">
      <w:bookmarkStart w:id="0" w:name="_GoBack"/>
      <w:bookmarkEnd w:id="0"/>
    </w:p>
    <w:sectPr w:rsidR="00A9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C212C"/>
    <w:multiLevelType w:val="multilevel"/>
    <w:tmpl w:val="8BBC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7A"/>
    <w:rsid w:val="00A5617A"/>
    <w:rsid w:val="00A9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7A9E0-27E5-4194-9CAE-DA7836EE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17A"/>
    <w:rPr>
      <w:color w:val="0000FF"/>
      <w:u w:val="single"/>
    </w:rPr>
  </w:style>
  <w:style w:type="paragraph" w:styleId="NormalWeb">
    <w:name w:val="Normal (Web)"/>
    <w:basedOn w:val="Normal"/>
    <w:uiPriority w:val="99"/>
    <w:semiHidden/>
    <w:unhideWhenUsed/>
    <w:rsid w:val="00A5617A"/>
    <w:pPr>
      <w:spacing w:before="100" w:beforeAutospacing="1" w:after="100" w:afterAutospacing="1"/>
    </w:pPr>
  </w:style>
  <w:style w:type="character" w:styleId="Strong">
    <w:name w:val="Strong"/>
    <w:basedOn w:val="DefaultParagraphFont"/>
    <w:uiPriority w:val="22"/>
    <w:qFormat/>
    <w:rsid w:val="00A56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6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20.rs6.net/tn.jsp?f=0013brBm3nC2seCYBBQqJu6iD76qN75lFxmg4D-uWVk5IRqmjd0e6iD3DHZYKFl0H6hgRCvCGc8mWHrbY8rKDz7d5U5r_-a5fX3nOJMSi-qK0P1m-mq-asiVr7kOjlatkiq5cThKv6-U0AJ_tzuliRDuGTJeBEjiV0Xn_JRfZaS8P6ABM6TrLu21Xw6EUY5eZ3GD5aUlbKTMEUOvkzSbS9OG-5L_RJ_cxd6&amp;c=6rtD2Rv5FZ-1vObfLEbLMjIQ6-cWbgyHX30NspEnRoWGCV_DZ20orw==&amp;ch=Ekkx42R8mKaJj_ZLYTmXxbsJbzCIpwkW2Y4pUE3-A0X19365lmK6-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Keesling</dc:creator>
  <cp:keywords/>
  <dc:description/>
  <cp:lastModifiedBy>Kelly Keesling</cp:lastModifiedBy>
  <cp:revision>1</cp:revision>
  <dcterms:created xsi:type="dcterms:W3CDTF">2014-10-04T00:48:00Z</dcterms:created>
  <dcterms:modified xsi:type="dcterms:W3CDTF">2014-10-04T00:49:00Z</dcterms:modified>
</cp:coreProperties>
</file>